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5C48EB-9201-44CE-ACF0-C30603D566F8}"/>
</file>

<file path=customXml/itemProps2.xml><?xml version="1.0" encoding="utf-8"?>
<ds:datastoreItem xmlns:ds="http://schemas.openxmlformats.org/officeDocument/2006/customXml" ds:itemID="{A7E76D7A-2FA5-4AFA-9C70-D7B9ABFD1BA1}"/>
</file>

<file path=customXml/itemProps3.xml><?xml version="1.0" encoding="utf-8"?>
<ds:datastoreItem xmlns:ds="http://schemas.openxmlformats.org/officeDocument/2006/customXml" ds:itemID="{0C1362B2-8624-422C-A12B-96A9BD64CE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3</cp:revision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